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方正小标宋简体" w:eastAsia="方正小标宋简体"/>
          <w:sz w:val="44"/>
        </w:rPr>
      </w:pPr>
      <w:r>
        <w:rPr>
          <w:rFonts w:hint="eastAsia" w:ascii="方正小标宋简体" w:eastAsia="方正小标宋简体"/>
          <w:sz w:val="44"/>
          <w:lang w:val="en-US" w:eastAsia="zh-CN"/>
        </w:rPr>
        <w:t xml:space="preserve">                                                                                                                                                                                                                                                                                                                                                                                                                                                                                                                                                                                                   </w:t>
      </w:r>
      <w:r>
        <w:rPr>
          <w:rFonts w:hint="eastAsia" w:ascii="方正小标宋简体" w:eastAsia="方正小标宋简体"/>
          <w:sz w:val="44"/>
        </w:rPr>
        <w:t>东北师范大学教学科研单位公用房</w:t>
      </w:r>
    </w:p>
    <w:p>
      <w:pPr>
        <w:spacing w:before="156" w:beforeLines="50" w:line="560" w:lineRule="exact"/>
        <w:jc w:val="center"/>
        <w:rPr>
          <w:rFonts w:hint="eastAsia" w:ascii="方正小标宋简体" w:eastAsia="方正小标宋简体"/>
          <w:sz w:val="44"/>
          <w:lang w:val="en-US" w:eastAsia="zh-CN"/>
        </w:rPr>
      </w:pPr>
      <w:r>
        <w:rPr>
          <w:rFonts w:hint="eastAsia" w:ascii="方正小标宋简体" w:eastAsia="方正小标宋简体"/>
          <w:sz w:val="44"/>
        </w:rPr>
        <w:t>有偿使用</w:t>
      </w:r>
      <w:r>
        <w:rPr>
          <w:rFonts w:hint="eastAsia" w:ascii="方正小标宋简体" w:eastAsia="方正小标宋简体"/>
          <w:sz w:val="44"/>
          <w:lang w:val="en-US" w:eastAsia="zh-CN"/>
        </w:rPr>
        <w:t>试点实施方案</w:t>
      </w:r>
    </w:p>
    <w:p>
      <w:pPr>
        <w:spacing w:before="156" w:beforeLines="50" w:line="560" w:lineRule="exact"/>
        <w:jc w:val="both"/>
        <w:rPr>
          <w:rFonts w:hint="eastAsia" w:ascii="方正小标宋简体" w:eastAsia="方正小标宋简体"/>
          <w:sz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为深化学校公用房管理改革，推进学校治理体系和治理能力现代化，推动教学科研单位公用房有偿使用顺利实施，学校鼓励各教学科研单位于2024年试点实施公用房有偿使用，按照“腾退为主、收费为辅”的原则开展单位内部定额核算及房屋资源使用费收取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b/>
          <w:bCs/>
          <w:sz w:val="32"/>
          <w:lang w:val="en-US" w:eastAsia="zh-CN"/>
        </w:rPr>
        <w:t>试点范围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具有开展公用房有偿使用工作迫切性且具备定额核算基础数据条件的教学科研单位。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仿宋_GB2312" w:hAnsi="Calibri" w:eastAsia="仿宋_GB2312" w:cs="Times New Roman"/>
          <w:b/>
          <w:bCs/>
          <w:sz w:val="32"/>
          <w:lang w:val="en-US" w:eastAsia="zh-CN"/>
        </w:rPr>
      </w:pPr>
      <w:r>
        <w:rPr>
          <w:rFonts w:hint="eastAsia" w:ascii="仿宋_GB2312" w:hAnsi="Calibri" w:eastAsia="仿宋_GB2312" w:cs="Times New Roman"/>
          <w:b/>
          <w:bCs/>
          <w:sz w:val="32"/>
          <w:lang w:val="en-US" w:eastAsia="zh-CN"/>
        </w:rPr>
        <w:t>试点时间及工作内容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（一）试点申请（3月1日-3月10日）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b w:val="0"/>
          <w:bCs w:val="0"/>
          <w:sz w:val="32"/>
          <w:lang w:val="en-US" w:eastAsia="zh-CN"/>
        </w:rPr>
      </w:pPr>
      <w:r>
        <w:rPr>
          <w:rFonts w:hint="eastAsia" w:ascii="仿宋_GB2312" w:hAnsi="Calibri" w:eastAsia="仿宋_GB2312" w:cs="Times New Roman"/>
          <w:b w:val="0"/>
          <w:bCs w:val="0"/>
          <w:sz w:val="32"/>
          <w:lang w:val="en-US" w:eastAsia="zh-CN"/>
        </w:rPr>
        <w:t>有意向参与试点的单位须于3月10日前提交经本单位主要负责人签字并加盖公章的试点申请表（见附件）。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（二）细则制定（3月11日-3月31日）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试点单位须结合《东北师范大学教学科研单位公用房有偿使用管理办法（试行）》（东师校发字2024[61]号）和本单位实际情况，制定本单位有偿使用实施细则，自行确定核算方式、核算标准、收费范围、收费标准、管理程序等，报资产与实验室管理处备案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（三）具体工作开展（4月1日-6月30日）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试点单位须开展单位内部公用房定额核算，根据核算结果优化房屋资源分配，收取房屋资源使用费。按照学校公用房定额核算结果，腾退超额使用房屋或向学校支付房屋资源使用费。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（四）试点工作考核（9月1日-9月30日）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b w:val="0"/>
          <w:bCs w:val="0"/>
          <w:sz w:val="32"/>
          <w:lang w:val="en-US" w:eastAsia="zh-CN"/>
        </w:rPr>
        <w:t>资产与实验室管理处将于9月组织开展试点工作考核，考核内容主要包括试点单位内部实施细则制定及执行、房屋资源使用费收取及支付、有偿使用工作开展成效等，学校公用房有偿使用工作组将对试点单位各项工作完成情况进行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Calibri" w:eastAsia="仿宋_GB2312" w:cs="Times New Roman"/>
          <w:b/>
          <w:bCs/>
          <w:sz w:val="32"/>
          <w:lang w:val="en-US" w:eastAsia="zh-CN"/>
        </w:rPr>
      </w:pPr>
      <w:r>
        <w:rPr>
          <w:rFonts w:hint="eastAsia" w:ascii="仿宋_GB2312" w:hAnsi="Calibri" w:eastAsia="仿宋_GB2312" w:cs="Times New Roman"/>
          <w:b/>
          <w:bCs/>
          <w:sz w:val="32"/>
          <w:lang w:val="en-US" w:eastAsia="zh-CN"/>
        </w:rPr>
        <w:t>三、试点鼓励政策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（一）试点单位支付的房屋资源使用费将全额返还，由本单位统筹使用。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（二）试点工作考核合格的单位在学校年终绩效考核中，将享受</w:t>
      </w:r>
      <w:bookmarkStart w:id="0" w:name="_GoBack"/>
      <w:bookmarkEnd w:id="0"/>
      <w:r>
        <w:rPr>
          <w:rFonts w:hint="eastAsia" w:ascii="仿宋_GB2312" w:hAnsi="Calibri" w:eastAsia="仿宋_GB2312" w:cs="Times New Roman"/>
          <w:sz w:val="32"/>
          <w:lang w:val="en-US" w:eastAsia="zh-CN"/>
        </w:rPr>
        <w:t>奖励政策。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（三）资产与实验室管理处将全力协助试点单位开展公用房有偿使用工作。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Calibri" w:eastAsia="仿宋_GB2312" w:cs="Times New Roman"/>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附件：东北师范大学教学科研单位公用房有偿使用试点申请表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Calibri" w:eastAsia="仿宋_GB2312" w:cs="Times New Roman"/>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Calibri" w:eastAsia="仿宋_GB2312" w:cs="Times New Roman"/>
          <w:sz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1598" w:leftChars="304" w:hanging="960" w:hangingChars="300"/>
        <w:jc w:val="right"/>
        <w:textAlignment w:val="auto"/>
        <w:rPr>
          <w:rFonts w:hint="default"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 xml:space="preserve">资产与实验室管理处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1598" w:leftChars="304" w:hanging="960" w:hangingChars="300"/>
        <w:jc w:val="right"/>
        <w:textAlignment w:val="auto"/>
        <w:rPr>
          <w:rFonts w:hint="eastAsia" w:ascii="仿宋_GB2312" w:hAnsi="Calibri" w:eastAsia="仿宋_GB2312" w:cs="Times New Roman"/>
          <w:sz w:val="32"/>
          <w:lang w:val="en-US" w:eastAsia="zh-CN"/>
        </w:rPr>
      </w:pPr>
      <w:r>
        <w:rPr>
          <w:rFonts w:hint="eastAsia" w:ascii="仿宋_GB2312" w:hAnsi="Calibri" w:eastAsia="仿宋_GB2312" w:cs="Times New Roman"/>
          <w:sz w:val="32"/>
          <w:lang w:val="en-US" w:eastAsia="zh-CN"/>
        </w:rPr>
        <w:t xml:space="preserve">2024年3月1日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304" w:hanging="960" w:hangingChars="300"/>
        <w:jc w:val="right"/>
        <w:textAlignment w:val="auto"/>
        <w:rPr>
          <w:rFonts w:hint="eastAsia" w:ascii="仿宋_GB2312" w:hAnsi="Calibri" w:eastAsia="仿宋_GB2312" w:cs="Times New Roman"/>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Calibri" w:eastAsia="仿宋_GB2312" w:cs="Times New Roman"/>
          <w:b/>
          <w:bCs/>
          <w:sz w:val="32"/>
          <w:lang w:val="en-US" w:eastAsia="zh-CN"/>
        </w:rPr>
      </w:pPr>
      <w:r>
        <w:rPr>
          <w:rFonts w:hint="eastAsia" w:ascii="仿宋_GB2312" w:hAnsi="Calibri" w:eastAsia="仿宋_GB2312" w:cs="Times New Roman"/>
          <w:b/>
          <w:bCs/>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21"/>
          <w:lang w:val="en-US" w:eastAsia="zh-CN"/>
        </w:rPr>
      </w:pPr>
      <w:r>
        <w:rPr>
          <w:rFonts w:hint="eastAsia" w:ascii="方正小标宋简体" w:eastAsia="方正小标宋简体"/>
          <w:sz w:val="40"/>
          <w:szCs w:val="21"/>
          <w:lang w:val="en-US" w:eastAsia="zh-CN"/>
        </w:rPr>
        <w:t>东北师范大学教学科研单位公用房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0"/>
          <w:szCs w:val="21"/>
          <w:lang w:val="en-US" w:eastAsia="zh-CN"/>
        </w:rPr>
      </w:pPr>
      <w:r>
        <w:rPr>
          <w:rFonts w:hint="eastAsia" w:ascii="方正小标宋简体" w:eastAsia="方正小标宋简体"/>
          <w:sz w:val="40"/>
          <w:szCs w:val="21"/>
          <w:lang w:val="en-US" w:eastAsia="zh-CN"/>
        </w:rPr>
        <w:t>有偿使用试点申请表</w:t>
      </w:r>
    </w:p>
    <w:tbl>
      <w:tblPr>
        <w:tblStyle w:val="4"/>
        <w:tblW w:w="876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2708"/>
        <w:gridCol w:w="1675"/>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申请单位</w:t>
            </w:r>
          </w:p>
        </w:tc>
        <w:tc>
          <w:tcPr>
            <w:tcW w:w="6925" w:type="dxa"/>
            <w:gridSpan w:val="3"/>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8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负责人</w:t>
            </w:r>
          </w:p>
        </w:tc>
        <w:tc>
          <w:tcPr>
            <w:tcW w:w="6925" w:type="dxa"/>
            <w:gridSpan w:val="3"/>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8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联系人</w:t>
            </w:r>
          </w:p>
        </w:tc>
        <w:tc>
          <w:tcPr>
            <w:tcW w:w="2708"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c>
          <w:tcPr>
            <w:tcW w:w="1675"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联系方式</w:t>
            </w:r>
          </w:p>
        </w:tc>
        <w:tc>
          <w:tcPr>
            <w:tcW w:w="25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资产管理员</w:t>
            </w:r>
          </w:p>
        </w:tc>
        <w:tc>
          <w:tcPr>
            <w:tcW w:w="2708"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c>
          <w:tcPr>
            <w:tcW w:w="1675"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联系方式</w:t>
            </w:r>
          </w:p>
        </w:tc>
        <w:tc>
          <w:tcPr>
            <w:tcW w:w="25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1842" w:type="dxa"/>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试点申请</w:t>
            </w:r>
          </w:p>
        </w:tc>
        <w:tc>
          <w:tcPr>
            <w:tcW w:w="6925" w:type="dxa"/>
            <w:gridSpan w:val="3"/>
            <w:vAlign w:val="center"/>
          </w:tcPr>
          <w:p>
            <w:pPr>
              <w:pStyle w:val="2"/>
              <w:keepNext/>
              <w:keepLines/>
              <w:pageBreakBefore w:val="0"/>
              <w:widowControl w:val="0"/>
              <w:kinsoku/>
              <w:wordWrap/>
              <w:overflowPunct/>
              <w:topLinePunct w:val="0"/>
              <w:autoSpaceDE/>
              <w:autoSpaceDN/>
              <w:bidi w:val="0"/>
              <w:adjustRightInd/>
              <w:snapToGrid w:val="0"/>
              <w:spacing w:before="0" w:after="0" w:line="240" w:lineRule="atLeast"/>
              <w:textAlignment w:val="auto"/>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kern w:val="2"/>
                <w:sz w:val="28"/>
                <w:szCs w:val="28"/>
                <w:vertAlign w:val="baseline"/>
                <w:lang w:val="en-US" w:eastAsia="zh-CN" w:bidi="ar-SA"/>
              </w:rPr>
              <w:t>简述试点必要性及工作计划，500字以内。</w:t>
            </w:r>
          </w:p>
          <w:p>
            <w:pPr>
              <w:rPr>
                <w:rFonts w:hint="eastAsia"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rPr>
                <w:rFonts w:hint="eastAsia" w:ascii="仿宋_GB2312" w:hAnsi="仿宋_GB2312" w:eastAsia="仿宋_GB2312" w:cs="仿宋_GB2312"/>
                <w:b w:val="0"/>
                <w:bCs w:val="0"/>
                <w:kern w:val="2"/>
                <w:sz w:val="28"/>
                <w:szCs w:val="28"/>
                <w:vertAlign w:val="baseline"/>
                <w:lang w:val="en-US" w:eastAsia="zh-CN" w:bidi="ar-SA"/>
              </w:rPr>
            </w:pPr>
          </w:p>
          <w:p>
            <w:pPr>
              <w:rPr>
                <w:rFonts w:hint="eastAsia" w:ascii="仿宋_GB2312" w:hAnsi="仿宋_GB2312" w:eastAsia="仿宋_GB2312" w:cs="仿宋_GB2312"/>
                <w:b w:val="0"/>
                <w:bCs w:val="0"/>
                <w:kern w:val="2"/>
                <w:sz w:val="28"/>
                <w:szCs w:val="28"/>
                <w:vertAlign w:val="baseline"/>
                <w:lang w:val="en-US" w:eastAsia="zh-CN" w:bidi="ar-SA"/>
              </w:rPr>
            </w:pPr>
          </w:p>
          <w:p>
            <w:pPr>
              <w:rPr>
                <w:rFonts w:hint="eastAsia" w:ascii="仿宋_GB2312" w:hAnsi="仿宋_GB2312" w:eastAsia="仿宋_GB2312" w:cs="仿宋_GB2312"/>
                <w:b w:val="0"/>
                <w:bCs w:val="0"/>
                <w:kern w:val="2"/>
                <w:sz w:val="28"/>
                <w:szCs w:val="28"/>
                <w:vertAlign w:val="baseline"/>
                <w:lang w:val="en-US" w:eastAsia="zh-CN" w:bidi="ar-SA"/>
              </w:rPr>
            </w:pPr>
          </w:p>
          <w:p>
            <w:pPr>
              <w:rPr>
                <w:rFonts w:hint="default" w:ascii="仿宋_GB2312" w:hAnsi="仿宋_GB2312" w:eastAsia="仿宋_GB2312" w:cs="仿宋_GB2312"/>
                <w:b w:val="0"/>
                <w:bCs w:val="0"/>
                <w:kern w:val="2"/>
                <w:sz w:val="28"/>
                <w:szCs w:val="28"/>
                <w:vertAlign w:val="baseline"/>
                <w:lang w:val="en-US" w:eastAsia="zh-CN" w:bidi="ar-SA"/>
              </w:rPr>
            </w:pPr>
          </w:p>
          <w:p>
            <w:pPr>
              <w:keepNext w:val="0"/>
              <w:keepLines w:val="0"/>
              <w:pageBreakBefore w:val="0"/>
              <w:widowControl w:val="0"/>
              <w:kinsoku/>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负责人签字：</w:t>
            </w:r>
          </w:p>
          <w:p>
            <w:pPr>
              <w:keepNext w:val="0"/>
              <w:keepLines w:val="0"/>
              <w:pageBreakBefore w:val="0"/>
              <w:widowControl w:val="0"/>
              <w:kinsoku/>
              <w:wordWrap w:val="0"/>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（单位公章）       </w:t>
            </w:r>
          </w:p>
          <w:p>
            <w:pPr>
              <w:keepNext w:val="0"/>
              <w:keepLines w:val="0"/>
              <w:pageBreakBefore w:val="0"/>
              <w:widowControl w:val="0"/>
              <w:kinsoku/>
              <w:wordWrap w:val="0"/>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842" w:type="dxa"/>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资产与实验室管理处</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审核意见</w:t>
            </w:r>
          </w:p>
        </w:tc>
        <w:tc>
          <w:tcPr>
            <w:tcW w:w="6925" w:type="dxa"/>
            <w:gridSpan w:val="3"/>
            <w:vAlign w:val="center"/>
          </w:tcPr>
          <w:p>
            <w:pPr>
              <w:keepNext w:val="0"/>
              <w:keepLines w:val="0"/>
              <w:pageBreakBefore w:val="0"/>
              <w:widowControl w:val="0"/>
              <w:kinsoku/>
              <w:overflowPunct/>
              <w:topLinePunct w:val="0"/>
              <w:autoSpaceDE/>
              <w:autoSpaceDN/>
              <w:bidi w:val="0"/>
              <w:adjustRightInd/>
              <w:snapToGrid w:val="0"/>
              <w:spacing w:before="156" w:beforeLines="50" w:line="240" w:lineRule="atLeast"/>
              <w:jc w:val="center"/>
              <w:textAlignment w:val="auto"/>
              <w:rPr>
                <w:rFonts w:hint="eastAsia" w:ascii="仿宋_GB2312" w:hAnsi="仿宋_GB2312" w:eastAsia="仿宋_GB2312" w:cs="仿宋_GB2312"/>
                <w:b/>
                <w:bCs/>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6" w:beforeLines="50" w:line="240" w:lineRule="atLeast"/>
        <w:jc w:val="both"/>
        <w:textAlignment w:val="auto"/>
        <w:rPr>
          <w:rFonts w:hint="default" w:ascii="方正小标宋简体" w:eastAsia="方正小标宋简体"/>
          <w:sz w:val="4"/>
          <w:szCs w:val="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2B6DB"/>
    <w:multiLevelType w:val="singleLevel"/>
    <w:tmpl w:val="8A52B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TcxNTNkMDI0ZTI4MjY5ZGQ1ZGRlYzViZGJhNmUifQ=="/>
  </w:docVars>
  <w:rsids>
    <w:rsidRoot w:val="58C850B3"/>
    <w:rsid w:val="067305EF"/>
    <w:rsid w:val="0C032196"/>
    <w:rsid w:val="10C5422A"/>
    <w:rsid w:val="162826A7"/>
    <w:rsid w:val="19C052A4"/>
    <w:rsid w:val="1AAE5C63"/>
    <w:rsid w:val="28A44478"/>
    <w:rsid w:val="28EB0EA4"/>
    <w:rsid w:val="2C072524"/>
    <w:rsid w:val="35187655"/>
    <w:rsid w:val="357A6262"/>
    <w:rsid w:val="3624433A"/>
    <w:rsid w:val="3B6B7E65"/>
    <w:rsid w:val="3BD916CB"/>
    <w:rsid w:val="402A6D27"/>
    <w:rsid w:val="488756B3"/>
    <w:rsid w:val="572653DB"/>
    <w:rsid w:val="58C850B3"/>
    <w:rsid w:val="60FD532E"/>
    <w:rsid w:val="6112249D"/>
    <w:rsid w:val="62C57EEC"/>
    <w:rsid w:val="656F7352"/>
    <w:rsid w:val="67B113D9"/>
    <w:rsid w:val="689A248A"/>
    <w:rsid w:val="6C83420E"/>
    <w:rsid w:val="6F773AB6"/>
    <w:rsid w:val="76DF3444"/>
    <w:rsid w:val="7AA15AA3"/>
    <w:rsid w:val="7AF2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2024-01-04T00:30:00Z</dcterms:created>
  <dc:creator>三岁淼</dc:creator>
  <cp:lastModifiedBy>三岁淼</cp:lastModifiedBy>
  <cp:lastPrinted>2024-03-01T01:44:08Z</cp:lastPrinted>
  <dcterms:modified xsi:type="dcterms:W3CDTF">2024-03-01T06:55:24Z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73D5A3FB97334864AD9D4DAAAD3D0C9C_13</vt:lpwstr>
  </property>
</Properties>
</file>